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sz w:val="32"/>
          <w:szCs w:val="32"/>
          <w:lang w:val="en-US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  <w:drawing>
          <wp:anchor behindDoc="0" distT="0" distB="0" distL="0" distR="0" simplePos="0" locked="0" layoutInCell="0" allowOverlap="1" relativeHeight="2">
            <wp:simplePos x="0" y="0"/>
            <wp:positionH relativeFrom="column">
              <wp:align>center</wp:align>
            </wp:positionH>
            <wp:positionV relativeFrom="paragraph">
              <wp:posOffset>635</wp:posOffset>
            </wp:positionV>
            <wp:extent cx="640080" cy="792480"/>
            <wp:effectExtent l="0" t="0" r="0" b="0"/>
            <wp:wrapTopAndBottom/>
            <wp:docPr id="1" name="Изображение54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54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924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ectPr>
          <w:headerReference w:type="default" r:id="rId3"/>
          <w:headerReference w:type="first" r:id="rId4"/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АДМИНИСТРАЦИЯ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ЗАТО ГОРОДСКОГО ОКРУГА МОЛОДЁЖНЫЙ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2"/>
          <w:szCs w:val="32"/>
          <w:lang w:val="en-US"/>
        </w:rPr>
        <w:t>МОСКОВСКОЙ ОБЛАСТИ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</w: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b/>
          <w:b/>
          <w:color w:val="000000"/>
          <w:spacing w:val="10"/>
          <w:sz w:val="36"/>
          <w:szCs w:val="36"/>
        </w:rPr>
      </w:pPr>
      <w:r>
        <w:rPr>
          <w:rFonts w:eastAsia="Calibri" w:ascii="Times New Roman" w:hAnsi="Times New Roman"/>
          <w:b/>
          <w:color w:val="000000"/>
          <w:spacing w:val="10"/>
          <w:sz w:val="36"/>
          <w:szCs w:val="36"/>
        </w:rPr>
        <w:t>ПОСТАНОВЛЕНИЕ</w:t>
      </w:r>
    </w:p>
    <w:p>
      <w:pPr>
        <w:pStyle w:val="Normal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 w:eastAsia="Calibri"/>
          <w:color w:val="000000"/>
          <w:sz w:val="28"/>
          <w:szCs w:val="28"/>
        </w:rPr>
      </w:pPr>
      <w:r>
        <w:rPr>
          <w:rFonts w:eastAsia="Calibri" w:ascii="Times New Roman" w:hAnsi="Times New Roman"/>
          <w:color w:val="000000"/>
          <w:sz w:val="28"/>
          <w:szCs w:val="28"/>
        </w:rPr>
      </w:r>
    </w:p>
    <w:tbl>
      <w:tblPr>
        <w:tblW w:w="5000" w:type="pct"/>
        <w:jc w:val="left"/>
        <w:tblInd w:w="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2462"/>
        <w:gridCol w:w="2396"/>
        <w:gridCol w:w="400"/>
        <w:gridCol w:w="2343"/>
        <w:gridCol w:w="2321"/>
      </w:tblGrid>
      <w:tr>
        <w:trPr/>
        <w:tc>
          <w:tcPr>
            <w:tcW w:w="2462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sz w:val="28"/>
                <w:szCs w:val="28"/>
              </w:rPr>
            </w:r>
          </w:p>
        </w:tc>
        <w:tc>
          <w:tcPr>
            <w:tcW w:w="2396" w:type="dxa"/>
            <w:tcBorders>
              <w:bottom w:val="single" w:sz="4" w:space="0" w:color="000000"/>
            </w:tcBorders>
          </w:tcPr>
          <w:p>
            <w:pPr>
              <w:pStyle w:val="TableContents"/>
              <w:suppressLineNumbers/>
              <w:tabs>
                <w:tab w:val="clear" w:pos="709"/>
                <w:tab w:val="left" w:pos="739" w:leader="none"/>
              </w:tabs>
              <w:ind w:left="0" w:right="0" w:firstLine="454"/>
              <w:jc w:val="left"/>
              <w:rPr>
                <w:rFonts w:ascii="Times New Roman" w:hAnsi="Times New Roman" w:eastAsia="Calibri"/>
                <w:color w:val="FFFFFF"/>
                <w:sz w:val="32"/>
                <w:szCs w:val="32"/>
              </w:rPr>
            </w:pPr>
            <w:r>
              <w:rPr>
                <w:rFonts w:eastAsia="Calibri" w:ascii="Times New Roman" w:hAnsi="Times New Roman"/>
                <w:color w:val="FFFFFF"/>
                <w:sz w:val="32"/>
                <w:szCs w:val="32"/>
              </w:rPr>
              <w:t>$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</w:rPr>
              <w:t>regDt$</w:t>
            </w:r>
          </w:p>
        </w:tc>
        <w:tc>
          <w:tcPr>
            <w:tcW w:w="400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b w:val="false"/>
                <w:b w:val="false"/>
                <w:bCs w:val="false"/>
                <w:color w:val="auto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b w:val="false"/>
                <w:bCs w:val="false"/>
                <w:color w:val="auto"/>
                <w:sz w:val="28"/>
                <w:szCs w:val="28"/>
              </w:rPr>
              <w:t>№</w:t>
            </w:r>
          </w:p>
        </w:tc>
        <w:tc>
          <w:tcPr>
            <w:tcW w:w="2343" w:type="dxa"/>
            <w:tcBorders>
              <w:bottom w:val="single" w:sz="4" w:space="0" w:color="000000"/>
            </w:tcBorders>
          </w:tcPr>
          <w:p>
            <w:pPr>
              <w:pStyle w:val="TableContents"/>
              <w:suppressLineNumbers/>
              <w:ind w:left="0" w:right="0" w:firstLine="567"/>
              <w:jc w:val="left"/>
              <w:rPr>
                <w:rFonts w:ascii="Times New Roman" w:hAnsi="Times New Roman" w:eastAsia="Calibri"/>
                <w:color w:val="FFFFFF"/>
                <w:sz w:val="32"/>
                <w:szCs w:val="32"/>
                <w:shd w:fill="auto" w:val="clear"/>
              </w:rPr>
            </w:pP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$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regNm</w:t>
            </w:r>
            <w:r>
              <w:rPr>
                <w:rFonts w:eastAsia="Calibri" w:ascii="Times New Roman" w:hAnsi="Times New Roman"/>
                <w:color w:val="FFFFFF"/>
                <w:sz w:val="32"/>
                <w:szCs w:val="32"/>
                <w:shd w:fill="auto" w:val="clear"/>
              </w:rPr>
              <w:t>$</w:t>
            </w:r>
          </w:p>
        </w:tc>
        <w:tc>
          <w:tcPr>
            <w:tcW w:w="2321" w:type="dxa"/>
            <w:tcBorders/>
          </w:tcPr>
          <w:p>
            <w:pPr>
              <w:pStyle w:val="TableContents"/>
              <w:jc w:val="center"/>
              <w:rPr>
                <w:rFonts w:ascii="Times New Roman" w:hAnsi="Times New Roman" w:eastAsia="Calibri"/>
                <w:color w:val="auto"/>
                <w:sz w:val="28"/>
                <w:szCs w:val="28"/>
              </w:rPr>
            </w:pPr>
            <w:r>
              <w:rPr>
                <w:rFonts w:eastAsia="Calibri" w:ascii="Times New Roman" w:hAnsi="Times New Roman"/>
                <w:color w:val="auto"/>
                <w:sz w:val="28"/>
                <w:szCs w:val="28"/>
              </w:rPr>
            </w:r>
          </w:p>
        </w:tc>
      </w:tr>
    </w:tbl>
    <w:p>
      <w:pPr>
        <w:pStyle w:val="Normal1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bidi w:val="0"/>
        <w:spacing w:lineRule="auto" w:line="276" w:before="0" w:after="0"/>
        <w:ind w:left="0" w:right="0" w:hanging="0"/>
        <w:jc w:val="center"/>
        <w:rPr>
          <w:rFonts w:ascii="Times New Roman" w:hAnsi="Times New Roman"/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Административного регламента предоставления</w:t>
        <w:tab/>
        <w:br/>
        <w:t>муниципальной услуги «Установление публичного сервитута в порядке Главы V.7. Земельного кодекса Российской Федерации»</w:t>
      </w: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В соответствии с Гражданским кодексом РФ, Законом от 14.07.1992 № 3297⁠-⁠1 «О закрытом административно⁠-⁠территориальном образовании», Федеральными законами от 06.10.2003 № 131⁠-⁠ФЗ «Об общих принципах организации местного самоуправления в Российской Федерации», Уставом ЗАТО городской округ Молодёжный Московской области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ПОСТАНОВЛ</w:t>
      </w:r>
      <w:r>
        <w:rPr>
          <w:sz w:val="28"/>
          <w:szCs w:val="28"/>
          <w:lang w:val="ru-RU"/>
        </w:rPr>
        <w:t>ЯЕТ</w:t>
      </w:r>
    </w:p>
    <w:p>
      <w:pPr>
        <w:pStyle w:val="Normal1"/>
        <w:spacing w:lineRule="auto" w:line="276" w:before="0" w:after="0"/>
        <w:ind w:left="0" w:right="0" w:firstLine="709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sz w:val="28"/>
          <w:szCs w:val="28"/>
          <w:lang w:val="ru-RU"/>
        </w:rPr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uppressAutoHyphens w:val="true"/>
        <w:spacing w:lineRule="auto" w:line="276" w:before="0" w:after="0"/>
        <w:ind w:left="0"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1. Утвердить </w:t>
      </w:r>
      <w:r>
        <w:rPr>
          <w:rStyle w:val="2"/>
          <w:rFonts w:cs="Times New Roman"/>
          <w:b w:val="false"/>
          <w:bCs/>
          <w:i w:val="false"/>
          <w:iCs w:val="false"/>
          <w:color w:val="000000"/>
          <w:sz w:val="28"/>
          <w:szCs w:val="28"/>
          <w:lang w:val="ru-RU" w:eastAsia="en-US" w:bidi="ar-SA"/>
        </w:rPr>
        <w:t>административный регламент</w:t>
      </w:r>
      <w:r>
        <w:rPr>
          <w:rFonts w:eastAsia="Times New Roman" w:cs="Times New Roman"/>
          <w:color w:val="000000"/>
          <w:sz w:val="28"/>
          <w:szCs w:val="28"/>
        </w:rPr>
        <w:t xml:space="preserve"> предоставления муниципальной услуги «Установление публичного сервитута в порядке Главы V.7. Земельного кодекса Российской Федерации».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pgNumType w:fmt="decimal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</w:tabs>
        <w:suppressAutoHyphens w:val="true"/>
        <w:spacing w:lineRule="auto" w:line="276" w:before="0" w:after="0"/>
        <w:ind w:left="0" w:right="0"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2. Вступает в силу со дня официального опубликования.</w:t>
      </w:r>
    </w:p>
    <w:p>
      <w:pPr>
        <w:pStyle w:val="Normal1"/>
        <w:suppressAutoHyphens w:val="true"/>
        <w:spacing w:lineRule="auto" w:line="276" w:before="0" w:after="0"/>
        <w:ind w:left="0" w:right="0" w:firstLine="709"/>
        <w:jc w:val="both"/>
        <w:rPr>
          <w:rFonts w:ascii="Times New Roman" w:hAnsi="Times New Roman"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"/>
        <w:tabs>
          <w:tab w:val="clear" w:pos="709"/>
        </w:tabs>
        <w:suppressAutoHyphens w:val="true"/>
        <w:spacing w:lineRule="auto" w:line="276" w:before="0" w:after="0"/>
        <w:ind w:left="0" w:right="0" w:firstLine="709"/>
        <w:jc w:val="both"/>
        <w:rPr/>
      </w:pPr>
      <w:r>
        <w:rPr>
          <w:rFonts w:eastAsia="Times New Roman" w:cs="Times New Roman" w:ascii="Times New Roman" w:hAnsi="Times New Roman"/>
          <w:color w:val="000000"/>
          <w:sz w:val="28"/>
          <w:szCs w:val="28"/>
        </w:rPr>
        <w:t>3. Контроль за исполнением настоящего постановления оставляю за собой.</w:t>
      </w:r>
    </w:p>
    <w:p>
      <w:pPr>
        <w:sectPr>
          <w:type w:val="continuous"/>
          <w:pgSz w:w="11906" w:h="16838"/>
          <w:pgMar w:left="1134" w:right="850" w:gutter="0" w:header="1134" w:top="1474" w:footer="0" w:bottom="1134"/>
          <w:formProt w:val="false"/>
          <w:titlePg/>
          <w:textDirection w:val="lrTb"/>
          <w:docGrid w:type="default" w:linePitch="312" w:charSpace="4294961151"/>
        </w:sectPr>
      </w:pP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tbl>
      <w:tblPr>
        <w:tblW w:w="9917" w:type="dxa"/>
        <w:jc w:val="left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4731"/>
        <w:gridCol w:w="1498"/>
        <w:gridCol w:w="3688"/>
      </w:tblGrid>
      <w:tr>
        <w:trPr>
          <w:trHeight w:val="283" w:hRule="atLeast"/>
        </w:trPr>
        <w:tc>
          <w:tcPr>
            <w:tcW w:w="4731" w:type="dxa"/>
            <w:tcBorders/>
            <w:vAlign w:val="bottom"/>
          </w:tcPr>
          <w:p>
            <w:pPr>
              <w:pStyle w:val="TableContents"/>
              <w:spacing w:lineRule="auto" w:line="276" w:before="0" w:after="0"/>
              <w:ind w:left="0" w:right="0" w:hanging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Глава ЗАТО городской округ Молодёжный Московской области</w:t>
            </w:r>
          </w:p>
        </w:tc>
        <w:tc>
          <w:tcPr>
            <w:tcW w:w="1498" w:type="dxa"/>
            <w:tcBorders/>
            <w:tcMar>
              <w:left w:w="10" w:type="dxa"/>
              <w:right w:w="10" w:type="dxa"/>
            </w:tcMar>
            <w:vAlign w:val="bottom"/>
          </w:tcPr>
          <w:p>
            <w:pPr>
              <w:pStyle w:val="Normal"/>
              <w:numPr>
                <w:ilvl w:val="0"/>
                <w:numId w:val="0"/>
              </w:numPr>
              <w:bidi w:val="0"/>
              <w:spacing w:lineRule="auto" w:line="276" w:before="0" w:after="0"/>
              <w:ind w:left="0" w:right="0" w:hanging="0"/>
              <w:jc w:val="center"/>
              <w:rPr>
                <w:color w:val="FFFFFF"/>
                <w:shd w:fill="FFFFFF" w:val="clear"/>
                <w:lang w:val="ru-RU"/>
              </w:rPr>
            </w:pPr>
            <w:r>
              <w:rPr>
                <w:color w:val="FFFFFF"/>
                <w:shd w:fill="FFFFFF" w:val="clear"/>
                <w:lang w:val="ru-RU"/>
              </w:rPr>
            </w:r>
          </w:p>
        </w:tc>
        <w:tc>
          <w:tcPr>
            <w:tcW w:w="3688" w:type="dxa"/>
            <w:tcBorders/>
            <w:tcMar>
              <w:top w:w="55" w:type="dxa"/>
              <w:left w:w="55" w:type="dxa"/>
              <w:bottom w:w="55" w:type="dxa"/>
              <w:right w:w="55" w:type="dxa"/>
            </w:tcMar>
            <w:vAlign w:val="bottom"/>
          </w:tcPr>
          <w:p>
            <w:pPr>
              <w:pStyle w:val="TableContents"/>
              <w:numPr>
                <w:ilvl w:val="0"/>
                <w:numId w:val="0"/>
              </w:numPr>
              <w:spacing w:lineRule="auto" w:line="276" w:before="0" w:after="0"/>
              <w:ind w:left="0" w:right="0" w:hanging="0"/>
              <w:jc w:val="right"/>
              <w:rPr>
                <w:rFonts w:ascii="Times New Roman" w:hAnsi="Times New Roman" w:eastAsia="Times New Roman" w:cs="Times New Roman"/>
                <w:sz w:val="28"/>
                <w:szCs w:val="28"/>
                <w:lang w:val="ru-RU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  <w:lang w:val="ru-RU"/>
              </w:rPr>
              <w:t>А.В. Михайлов</w:t>
            </w:r>
          </w:p>
        </w:tc>
      </w:tr>
    </w:tbl>
    <w:tbl>
      <w:tblPr>
        <w:tblW w:w="5000" w:type="pct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705"/>
        <w:gridCol w:w="5217"/>
      </w:tblGrid>
      <w:tr>
        <w:trPr/>
        <w:tc>
          <w:tcPr>
            <w:tcW w:w="4705" w:type="dxa"/>
            <w:tcBorders/>
          </w:tcPr>
          <w:p>
            <w:pPr>
              <w:pStyle w:val="TableContents"/>
              <w:jc w:val="both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  <w:r>
              <w:rPr>
                <w:rFonts w:eastAsia="Times New Roman" w:cs="Times New Roman" w:ascii="Times New Roman" w:hAnsi="Times New Roman"/>
                <w:sz w:val="28"/>
                <w:szCs w:val="28"/>
              </w:rPr>
            </w:r>
          </w:p>
        </w:tc>
        <w:tc>
          <w:tcPr>
            <w:tcW w:w="5217" w:type="dxa"/>
            <w:tcBorders/>
          </w:tcPr>
          <w:p>
            <w:pPr>
              <w:pStyle w:val="Normal"/>
              <w:numPr>
                <w:ilvl w:val="0"/>
                <w:numId w:val="0"/>
              </w:numPr>
              <w:bidi w:val="0"/>
              <w:spacing w:lineRule="auto" w:line="276" w:before="0" w:after="0"/>
              <w:ind w:left="0" w:right="0" w:hanging="0"/>
              <w:jc w:val="left"/>
              <w:rPr>
                <w:color w:val="FFFFFF"/>
                <w:shd w:fill="FFFFFF" w:val="clear"/>
                <w:lang w:val="ru-RU"/>
              </w:rPr>
            </w:pPr>
            <w:r>
              <w:rPr>
                <w:color w:val="FFFFFF"/>
                <w:shd w:fill="FFFFFF" w:val="clear"/>
                <w:lang w:val="ru-RU"/>
              </w:rPr>
              <w:t>$signature$</w:t>
            </w:r>
          </w:p>
        </w:tc>
      </w:tr>
    </w:tbl>
    <w:p>
      <w:pPr>
        <w:pStyle w:val="Normal1"/>
        <w:spacing w:lineRule="auto" w:line="276" w:before="0" w:after="0"/>
        <w:ind w:left="0" w:right="0" w:firstLine="709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</w:r>
    </w:p>
    <w:sectPr>
      <w:type w:val="continuous"/>
      <w:pgSz w:w="11906" w:h="16838"/>
      <w:pgMar w:left="1134" w:right="850" w:gutter="0" w:header="1134" w:top="1474" w:footer="0" w:bottom="1134"/>
      <w:pgNumType w:fmt="decimal"/>
      <w:formProt w:val="false"/>
      <w:titlePg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StarSymbol">
    <w:altName w:val="Arial Unicode MS"/>
    <w:charset w:val="01"/>
    <w:family w:val="auto"/>
    <w:pitch w:val="default"/>
  </w:font>
  <w:font w:name="OpenSymbol">
    <w:altName w:val="Arial Unicode MS"/>
    <w:charset w:val="01"/>
    <w:family w:val="auto"/>
    <w:pitch w:val="default"/>
  </w:font>
  <w:font w:name="Calibri Light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iberation Mono">
    <w:altName w:val="Courier New"/>
    <w:charset w:val="01"/>
    <w:family w:val="modern"/>
    <w:pitch w:val="fixed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sz w:val="28"/>
        <w:szCs w:val="28"/>
        <w:rFonts w:ascii="Times New Roman" w:hAnsi="Times New Roman"/>
      </w:rPr>
      <w:instrText xml:space="preserve"> PAGE </w:instrText>
    </w:r>
    <w:r>
      <w:rPr>
        <w:sz w:val="28"/>
        <w:szCs w:val="28"/>
        <w:rFonts w:ascii="Times New Roman" w:hAnsi="Times New Roman"/>
      </w:rPr>
      <w:fldChar w:fldCharType="separate"/>
    </w:r>
    <w:r>
      <w:rPr>
        <w:sz w:val="28"/>
        <w:szCs w:val="28"/>
        <w:rFonts w:ascii="Times New Roman" w:hAnsi="Times New Roman"/>
      </w:rPr>
      <w:t>0</w:t>
    </w:r>
    <w:r>
      <w:rPr>
        <w:sz w:val="28"/>
        <w:szCs w:val="28"/>
        <w:rFonts w:ascii="Times New Roman" w:hAnsi="Times New Roman"/>
      </w:rPr>
      <w:fldChar w:fldCharType="end"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Left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hanging="0"/>
      </w:pPr>
    </w:lvl>
    <w:lvl w:ilvl="2">
      <w:start w:val="1"/>
      <w:pStyle w:val="Heading3"/>
      <w:numFmt w:val="none"/>
      <w:suff w:val="nothing"/>
      <w:lvlText w:val="%3"/>
      <w:lvlJc w:val="left"/>
      <w:pPr>
        <w:tabs>
          <w:tab w:val="num" w:pos="0"/>
        </w:tabs>
        <w:ind w:left="0" w:hanging="0"/>
      </w:pPr>
    </w:lvl>
    <w:lvl w:ilvl="3">
      <w:start w:val="1"/>
      <w:pStyle w:val="Heading4"/>
      <w:numFmt w:val="none"/>
      <w:suff w:val="nothing"/>
      <w:lvlText w:val="%4"/>
      <w:lvlJc w:val="left"/>
      <w:pPr>
        <w:tabs>
          <w:tab w:val="num" w:pos="0"/>
        </w:tabs>
        <w:ind w:left="0" w:hanging="0"/>
      </w:pPr>
    </w:lvl>
    <w:lvl w:ilvl="4">
      <w:start w:val="1"/>
      <w:pStyle w:val="Heading5"/>
      <w:numFmt w:val="none"/>
      <w:suff w:val="nothing"/>
      <w:lvlText w:val="%5"/>
      <w:lvlJc w:val="left"/>
      <w:pPr>
        <w:tabs>
          <w:tab w:val="num" w:pos="0"/>
        </w:tabs>
        <w:ind w:left="0" w:hanging="0"/>
      </w:pPr>
    </w:lvl>
    <w:lvl w:ilvl="5">
      <w:start w:val="1"/>
      <w:pStyle w:val="Heading6"/>
      <w:numFmt w:val="none"/>
      <w:suff w:val="nothing"/>
      <w:lvlText w:val="%6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lvl w:ilvl="0">
      <w:start w:val="4"/>
      <w:numFmt w:val="decimal"/>
      <w:lvlText w:val="%1."/>
      <w:lvlJc w:val="left"/>
      <w:pPr>
        <w:tabs>
          <w:tab w:val="num" w:pos="0"/>
        </w:tabs>
        <w:ind w:left="3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hanging="0"/>
      </w:pPr>
      <w:rPr>
        <w:dstrike w:val="false"/>
        <w:strike w:val="false"/>
        <w:vertAlign w:val="baseline"/>
        <w:position w:val="0"/>
        <w:sz w:val="26"/>
        <w:sz w:val="26"/>
        <w:i w:val="false"/>
        <w:u w:val="none"/>
        <w:b w:val="false"/>
        <w:shd w:fill="auto" w:val="clear"/>
        <w:szCs w:val="26"/>
        <w:rFonts w:ascii="Times New Roman" w:hAnsi="Times New Roman" w:eastAsia="Times New Roman" w:cs="Times New Roman"/>
        <w:color w:val="000000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Heading1">
    <w:name w:val="Heading 1"/>
    <w:basedOn w:val="Heading"/>
    <w:next w:val="TextBody"/>
    <w:qFormat/>
    <w:pPr>
      <w:numPr>
        <w:ilvl w:val="0"/>
        <w:numId w:val="0"/>
      </w:numPr>
      <w:outlineLvl w:val="0"/>
    </w:pPr>
    <w:rPr>
      <w:rFonts w:ascii="Times New Roman" w:hAnsi="Times New Roman" w:eastAsia="MS Gothic" w:cs="Tahoma"/>
      <w:b/>
      <w:bCs/>
      <w:sz w:val="48"/>
      <w:szCs w:val="48"/>
    </w:rPr>
  </w:style>
  <w:style w:type="paragraph" w:styleId="Heading2">
    <w:name w:val="Heading 2"/>
    <w:basedOn w:val="Heading"/>
    <w:next w:val="TextBody"/>
    <w:qFormat/>
    <w:pPr>
      <w:numPr>
        <w:ilvl w:val="0"/>
        <w:numId w:val="0"/>
      </w:numPr>
      <w:outlineLvl w:val="1"/>
    </w:pPr>
    <w:rPr>
      <w:rFonts w:ascii="Times New Roman" w:hAnsi="Times New Roman" w:eastAsia="MS Gothic" w:cs="Tahoma"/>
      <w:b/>
      <w:bCs/>
      <w:sz w:val="36"/>
      <w:szCs w:val="36"/>
    </w:rPr>
  </w:style>
  <w:style w:type="paragraph" w:styleId="Heading3">
    <w:name w:val="Heading 3"/>
    <w:basedOn w:val="Heading"/>
    <w:next w:val="TextBody"/>
    <w:qFormat/>
    <w:pPr>
      <w:numPr>
        <w:ilvl w:val="2"/>
        <w:numId w:val="1"/>
      </w:numPr>
      <w:spacing w:before="140" w:after="120"/>
      <w:outlineLvl w:val="2"/>
    </w:pPr>
    <w:rPr>
      <w:b/>
      <w:bCs/>
      <w:sz w:val="28"/>
      <w:szCs w:val="28"/>
    </w:rPr>
  </w:style>
  <w:style w:type="paragraph" w:styleId="Heading4">
    <w:name w:val="Heading 4"/>
    <w:basedOn w:val="Heading"/>
    <w:next w:val="Normal"/>
    <w:qFormat/>
    <w:pPr>
      <w:numPr>
        <w:ilvl w:val="3"/>
        <w:numId w:val="1"/>
      </w:numPr>
      <w:spacing w:before="120" w:after="120"/>
      <w:outlineLvl w:val="3"/>
    </w:pPr>
    <w:rPr>
      <w:b/>
      <w:bCs/>
      <w:i/>
      <w:iCs/>
      <w:color w:val="808080"/>
      <w:sz w:val="27"/>
      <w:szCs w:val="27"/>
    </w:rPr>
  </w:style>
  <w:style w:type="paragraph" w:styleId="Heading5">
    <w:name w:val="Heading 5"/>
    <w:basedOn w:val="Heading"/>
    <w:next w:val="Normal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Heading6">
    <w:name w:val="Heading 6"/>
    <w:basedOn w:val="Heading"/>
    <w:next w:val="Normal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styleId="PODNumberingSymbols">
    <w:name w:val="POD Numbering Symbols"/>
    <w:qFormat/>
    <w:rPr/>
  </w:style>
  <w:style w:type="character" w:styleId="PODBulletSymbols">
    <w:name w:val="POD Bullet Symbols"/>
    <w:qFormat/>
    <w:rPr>
      <w:rFonts w:ascii="StarSymbol" w:hAnsi="StarSymbol" w:eastAsia="StarSymbol" w:cs="StarSymbol"/>
      <w:sz w:val="18"/>
      <w:szCs w:val="18"/>
    </w:rPr>
  </w:style>
  <w:style w:type="character" w:styleId="DefaultParagraphFont">
    <w:name w:val="Default Paragraph Font"/>
    <w:qFormat/>
    <w:rPr/>
  </w:style>
  <w:style w:type="character" w:styleId="WWCharLFO2LVL1">
    <w:name w:val="WW_CharLFO2LVL1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2">
    <w:name w:val="WW_CharLFO2LVL2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3">
    <w:name w:val="WW_CharLFO2LVL3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4">
    <w:name w:val="WW_CharLFO2LVL4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5">
    <w:name w:val="WW_CharLFO2LVL5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6">
    <w:name w:val="WW_CharLFO2LVL6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7">
    <w:name w:val="WW_CharLFO2LVL7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8">
    <w:name w:val="WW_CharLFO2LVL8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WWCharLFO2LVL9">
    <w:name w:val="WW_CharLFO2LVL9"/>
    <w:qFormat/>
    <w:rPr>
      <w:rFonts w:ascii="Times New Roman" w:hAnsi="Times New Roman" w:eastAsia="Times New Roman" w:cs="Times New Roman"/>
      <w:b w:val="false"/>
      <w:i w:val="false"/>
      <w:strike w:val="false"/>
      <w:dstrike w:val="false"/>
      <w:color w:val="000000"/>
      <w:position w:val="0"/>
      <w:sz w:val="26"/>
      <w:sz w:val="26"/>
      <w:szCs w:val="26"/>
      <w:u w:val="none"/>
      <w:shd w:fill="auto" w:val="clear"/>
      <w:vertAlign w:val="baseline"/>
    </w:rPr>
  </w:style>
  <w:style w:type="character" w:styleId="Bullets">
    <w:name w:val="Bullets"/>
    <w:qFormat/>
    <w:rPr>
      <w:rFonts w:ascii="OpenSymbol" w:hAnsi="OpenSymbol" w:eastAsia="OpenSymbol" w:cs="OpenSymbol"/>
    </w:rPr>
  </w:style>
  <w:style w:type="character" w:styleId="NumberingSymbols">
    <w:name w:val="Numbering Symbols"/>
    <w:qFormat/>
    <w:rPr/>
  </w:style>
  <w:style w:type="character" w:styleId="Style8">
    <w:name w:val="обычный приложения Знак"/>
    <w:basedOn w:val="DefaultParagraphFont"/>
    <w:qFormat/>
    <w:rPr>
      <w:rFonts w:ascii="Times New Roman" w:hAnsi="Times New Roman" w:eastAsia="Calibri"/>
      <w:b/>
      <w:sz w:val="24"/>
      <w:szCs w:val="24"/>
    </w:rPr>
  </w:style>
  <w:style w:type="character" w:styleId="2">
    <w:name w:val="АР Прил 2 Знак"/>
    <w:basedOn w:val="Style8"/>
    <w:qFormat/>
    <w:rPr>
      <w:rFonts w:ascii="Times New Roman" w:hAnsi="Times New Roman" w:eastAsia="Calibri"/>
      <w:b/>
      <w:sz w:val="24"/>
      <w:szCs w:val="24"/>
    </w:rPr>
  </w:style>
  <w:style w:type="character" w:styleId="21">
    <w:name w:val="Заголовок 2 Знак"/>
    <w:basedOn w:val="DefaultParagraphFont"/>
    <w:qFormat/>
    <w:rPr>
      <w:rFonts w:ascii="Calibri Light" w:hAnsi="Calibri Light" w:eastAsia="Times New Roman"/>
      <w:b/>
      <w:bCs/>
      <w:color w:val="4472C4"/>
      <w:sz w:val="26"/>
      <w:szCs w:val="26"/>
    </w:rPr>
  </w:style>
  <w:style w:type="character" w:styleId="22">
    <w:name w:val="Рег. Заголовок 2-го уровня регламента Знак"/>
    <w:basedOn w:val="DefaultParagraphFont"/>
    <w:qFormat/>
    <w:rPr>
      <w:rFonts w:ascii="Times New Roman" w:hAnsi="Times New Roman" w:eastAsia="Calibri"/>
      <w:b/>
      <w:bCs/>
      <w:sz w:val="24"/>
      <w:szCs w:val="24"/>
    </w:rPr>
  </w:style>
  <w:style w:type="character" w:styleId="Style9">
    <w:name w:val="Без интервала Знак,Приложение АР Знак"/>
    <w:basedOn w:val="DefaultParagraphFont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styleId="1">
    <w:name w:val="АР Прил1 Знак"/>
    <w:basedOn w:val="Style9"/>
    <w:qFormat/>
    <w:rPr>
      <w:rFonts w:ascii="Times New Roman" w:hAnsi="Times New Roman"/>
      <w:b w:val="false"/>
      <w:bCs/>
      <w:iCs/>
      <w:sz w:val="24"/>
      <w:szCs w:val="24"/>
      <w:lang w:eastAsia="ru-RU"/>
    </w:rPr>
  </w:style>
  <w:style w:type="character" w:styleId="11">
    <w:name w:val="Заголовок 1 Знак"/>
    <w:basedOn w:val="DefaultParagraphFont"/>
    <w:qFormat/>
    <w:rPr>
      <w:rFonts w:ascii="Calibri Light" w:hAnsi="Calibri Light" w:eastAsia="Times New Roman"/>
      <w:color w:val="2F5496"/>
      <w:sz w:val="32"/>
      <w:szCs w:val="32"/>
    </w:rPr>
  </w:style>
  <w:style w:type="character" w:styleId="12">
    <w:name w:val="Основной шрифт абзаца1"/>
    <w:qFormat/>
    <w:rPr/>
  </w:style>
  <w:style w:type="paragraph" w:styleId="ParaKWN">
    <w:name w:val="ParaKWN"/>
    <w:basedOn w:val="Normal"/>
    <w:qFormat/>
    <w:pPr>
      <w:keepNext w:val="true"/>
    </w:pPr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odPageBreakBefore">
    <w:name w:val="podPageBreakBefore"/>
    <w:qFormat/>
    <w:pPr>
      <w:pageBreakBefore/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PageBreakAfter">
    <w:name w:val="podPageBreakAfter"/>
    <w:qFormat/>
    <w:pPr>
      <w:widowControl/>
      <w:kinsoku w:val="true"/>
      <w:overflowPunct w:val="true"/>
      <w:autoSpaceDE w:val="true"/>
      <w:bidi w:val="0"/>
      <w:spacing w:before="0" w:after="0"/>
      <w:ind w:left="0" w:right="0" w:hanging="0"/>
    </w:pPr>
    <w:rPr>
      <w:rFonts w:ascii="Liberation Serif" w:hAnsi="Liberation Serif" w:eastAsia="NSimSun" w:cs="Lucida Sans"/>
      <w:color w:val="auto"/>
      <w:kern w:val="2"/>
      <w:sz w:val="4"/>
      <w:szCs w:val="24"/>
      <w:lang w:val="ru-RU" w:eastAsia="zh-CN" w:bidi="hi-IN"/>
    </w:rPr>
  </w:style>
  <w:style w:type="paragraph" w:styleId="PodColumnBreak">
    <w:name w:val="podColumnBreak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Lucida Sans"/>
      <w:color w:val="auto"/>
      <w:kern w:val="2"/>
      <w:sz w:val="24"/>
      <w:szCs w:val="24"/>
      <w:lang w:val="ru-RU" w:eastAsia="zh-CN" w:bidi="hi-IN"/>
    </w:rPr>
  </w:style>
  <w:style w:type="paragraph" w:styleId="PodBulletItem">
    <w:name w:val="podBulletItem"/>
    <w:basedOn w:val="Normal"/>
    <w:qFormat/>
    <w:pPr>
      <w:numPr>
        <w:ilvl w:val="0"/>
        <w:numId w:val="2"/>
      </w:numPr>
    </w:pPr>
    <w:rPr/>
  </w:style>
  <w:style w:type="paragraph" w:styleId="PodNumberItem">
    <w:name w:val="podNumberItem"/>
    <w:basedOn w:val="Normal"/>
    <w:qFormat/>
    <w:pPr>
      <w:numPr>
        <w:ilvl w:val="0"/>
        <w:numId w:val="3"/>
      </w:numPr>
    </w:pPr>
    <w:rPr/>
  </w:style>
  <w:style w:type="paragraph" w:styleId="PodBulletItemKeepWithNext">
    <w:name w:val="podBulletItemKeepWithNext"/>
    <w:basedOn w:val="Normal"/>
    <w:qFormat/>
    <w:pPr>
      <w:keepNext w:val="true"/>
      <w:numPr>
        <w:ilvl w:val="0"/>
        <w:numId w:val="2"/>
      </w:numPr>
    </w:pPr>
    <w:rPr/>
  </w:style>
  <w:style w:type="paragraph" w:styleId="PodNumberItemKeepWithNext">
    <w:name w:val="podNumberItemKeepWithNext"/>
    <w:basedOn w:val="Normal"/>
    <w:qFormat/>
    <w:pPr>
      <w:keepNext w:val="true"/>
      <w:numPr>
        <w:ilvl w:val="0"/>
        <w:numId w:val="3"/>
      </w:numPr>
    </w:pPr>
    <w:rPr/>
  </w:style>
  <w:style w:type="paragraph" w:styleId="Tablecell">
    <w:name w:val="Table cell"/>
    <w:basedOn w:val="Normal"/>
    <w:qFormat/>
    <w:pPr>
      <w:suppressLineNumbers/>
      <w:spacing w:before="0" w:after="0"/>
    </w:pPr>
    <w:rPr/>
  </w:style>
  <w:style w:type="paragraph" w:styleId="Tableheading">
    <w:name w:val="Table heading"/>
    <w:basedOn w:val="Tablecell"/>
    <w:qFormat/>
    <w:pPr/>
    <w:rPr>
      <w:b/>
      <w:bCs/>
    </w:rPr>
  </w:style>
  <w:style w:type="paragraph" w:styleId="PodTablePara">
    <w:name w:val="podTablePara"/>
    <w:basedOn w:val="Tablecell"/>
    <w:qFormat/>
    <w:pPr/>
    <w:rPr>
      <w:b w:val="false"/>
      <w:bCs w:val="false"/>
      <w:sz w:val="16"/>
    </w:rPr>
  </w:style>
  <w:style w:type="paragraph" w:styleId="PodTableParaBold">
    <w:name w:val="podTableParaBold"/>
    <w:basedOn w:val="Tablecell"/>
    <w:qFormat/>
    <w:pPr/>
    <w:rPr>
      <w:b/>
      <w:bCs/>
      <w:sz w:val="16"/>
    </w:rPr>
  </w:style>
  <w:style w:type="paragraph" w:styleId="PodTableParaRight">
    <w:name w:val="podTableParaRight"/>
    <w:basedOn w:val="Tablecell"/>
    <w:qFormat/>
    <w:pPr>
      <w:jc w:val="right"/>
    </w:pPr>
    <w:rPr>
      <w:b w:val="false"/>
      <w:bCs w:val="false"/>
      <w:sz w:val="16"/>
    </w:rPr>
  </w:style>
  <w:style w:type="paragraph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NormalTable">
    <w:name w:val="Normal Table"/>
    <w:qFormat/>
    <w:pPr>
      <w:widowControl/>
      <w:kinsoku w:val="true"/>
      <w:overflowPunct w:val="true"/>
      <w:autoSpaceDE w:val="true"/>
      <w:bidi w:val="0"/>
      <w:jc w:val="left"/>
      <w:textAlignment w:val="auto"/>
    </w:pPr>
    <w:rPr>
      <w:rFonts w:ascii="Times New Roman" w:hAnsi="Times New Roman" w:eastAsia="Times New Roman" w:cs="Times New Roman"/>
      <w:color w:val="auto"/>
      <w:kern w:val="2"/>
      <w:sz w:val="20"/>
      <w:szCs w:val="20"/>
      <w:lang w:val="ru-RU" w:eastAsia="ru-RU" w:bidi="ar-SA"/>
    </w:rPr>
  </w:style>
  <w:style w:type="paragraph" w:styleId="Normal1">
    <w:name w:val="LO-Normal1"/>
    <w:qFormat/>
    <w:pPr>
      <w:widowControl/>
      <w:tabs>
        <w:tab w:val="clear" w:pos="709"/>
      </w:tabs>
      <w:suppressAutoHyphens w:val="true"/>
      <w:kinsoku w:val="true"/>
      <w:overflowPunct w:val="true"/>
      <w:autoSpaceDE w:val="true"/>
      <w:bidi w:val="0"/>
      <w:spacing w:lineRule="auto" w:line="266" w:before="0" w:after="56"/>
      <w:ind w:left="48" w:right="0" w:hanging="1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Style10">
    <w:name w:val="обычный приложения"/>
    <w:basedOn w:val="Normal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3">
    <w:name w:val="АР Прил 2"/>
    <w:basedOn w:val="Style10"/>
    <w:qFormat/>
    <w:pPr>
      <w:jc w:val="center"/>
    </w:pPr>
    <w:rPr>
      <w:rFonts w:ascii="Times New Roman" w:hAnsi="Times New Roman" w:eastAsia="Calibri"/>
      <w:b/>
      <w:sz w:val="24"/>
    </w:rPr>
  </w:style>
  <w:style w:type="paragraph" w:styleId="24">
    <w:name w:val="Рег. Заголовок 2-го уровня регламента"/>
    <w:basedOn w:val="Normal"/>
    <w:qFormat/>
    <w:pPr>
      <w:numPr>
        <w:ilvl w:val="0"/>
        <w:numId w:val="0"/>
      </w:numPr>
      <w:spacing w:lineRule="auto" w:line="240" w:before="0" w:after="0"/>
      <w:jc w:val="center"/>
      <w:outlineLvl w:val="1"/>
    </w:pPr>
    <w:rPr>
      <w:rFonts w:ascii="Times New Roman" w:hAnsi="Times New Roman" w:eastAsia="Calibri"/>
      <w:b/>
      <w:bCs/>
      <w:sz w:val="24"/>
      <w:szCs w:val="24"/>
    </w:rPr>
  </w:style>
  <w:style w:type="paragraph" w:styleId="Footnote">
    <w:name w:val="Footnote Text"/>
    <w:basedOn w:val="Normal"/>
    <w:pPr>
      <w:suppressLineNumbers/>
      <w:ind w:left="340" w:right="0" w:hanging="340"/>
    </w:pPr>
    <w:rPr>
      <w:sz w:val="20"/>
      <w:szCs w:val="20"/>
    </w:rPr>
  </w:style>
  <w:style w:type="paragraph" w:styleId="TableHeading1">
    <w:name w:val="Table Heading"/>
    <w:basedOn w:val="TableContents"/>
    <w:qFormat/>
    <w:pPr>
      <w:suppressLineNumbers/>
      <w:jc w:val="center"/>
    </w:pPr>
    <w:rPr>
      <w:b/>
      <w:bCs/>
    </w:rPr>
  </w:style>
  <w:style w:type="paragraph" w:styleId="NoSpacing">
    <w:name w:val="No Spacing,Приложение АР"/>
    <w:basedOn w:val="Heading1"/>
    <w:next w:val="24"/>
    <w:qFormat/>
    <w:pPr>
      <w:keepNext w:val="true"/>
      <w:spacing w:lineRule="auto" w:line="240" w:before="240" w:after="240"/>
      <w:jc w:val="right"/>
    </w:pPr>
    <w:rPr>
      <w:b/>
      <w:bCs/>
      <w:iCs/>
      <w:sz w:val="24"/>
    </w:rPr>
  </w:style>
  <w:style w:type="paragraph" w:styleId="13">
    <w:name w:val="АР Прил1"/>
    <w:basedOn w:val="NoSpacing"/>
    <w:qFormat/>
    <w:pPr>
      <w:keepNext w:val="true"/>
      <w:spacing w:lineRule="auto" w:line="240" w:before="240" w:after="0"/>
      <w:ind w:left="0" w:right="0" w:firstLine="4820"/>
    </w:pPr>
    <w:rPr>
      <w:bCs/>
      <w:iCs/>
      <w:sz w:val="24"/>
    </w:rPr>
  </w:style>
  <w:style w:type="paragraph" w:styleId="TableGrid">
    <w:name w:val="Table Grid"/>
    <w:basedOn w:val="NormalTable"/>
    <w:qFormat/>
    <w:pPr>
      <w:pBdr/>
      <w:spacing w:lineRule="auto" w:line="240" w:before="0" w:after="0"/>
    </w:pPr>
    <w:rPr/>
  </w:style>
  <w:style w:type="paragraph" w:styleId="PreformattedText">
    <w:name w:val="Preformatted Text"/>
    <w:basedOn w:val="Normal"/>
    <w:qFormat/>
    <w:pPr>
      <w:spacing w:before="0" w:after="0"/>
    </w:pPr>
    <w:rPr>
      <w:rFonts w:ascii="Liberation Mono" w:hAnsi="Liberation Mono" w:eastAsia="NSimSun" w:cs="Liberation Mono"/>
      <w:sz w:val="20"/>
      <w:szCs w:val="20"/>
    </w:rPr>
  </w:style>
  <w:style w:type="paragraph" w:styleId="HeaderandFooter">
    <w:name w:val="Header and Footer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HeaderandFooter"/>
    <w:pPr>
      <w:suppressLineNumbers/>
    </w:pPr>
    <w:rPr/>
  </w:style>
  <w:style w:type="paragraph" w:styleId="HeaderLeft">
    <w:name w:val="Header Left"/>
    <w:basedOn w:val="Header"/>
    <w:qFormat/>
    <w:pPr>
      <w:suppressLineNumbers/>
    </w:pPr>
    <w:rPr/>
  </w:style>
  <w:style w:type="paragraph" w:styleId="LONormal">
    <w:name w:val="LO-Normal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left="48" w:right="0" w:hanging="1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paragraph" w:styleId="LONormal0">
    <w:name w:val="LO-Normal0"/>
    <w:qFormat/>
    <w:pPr>
      <w:widowControl/>
      <w:suppressAutoHyphens w:val="true"/>
      <w:kinsoku w:val="true"/>
      <w:overflowPunct w:val="true"/>
      <w:autoSpaceDE w:val="true"/>
      <w:bidi w:val="0"/>
      <w:spacing w:lineRule="auto" w:line="264" w:before="0" w:after="56"/>
      <w:ind w:left="48" w:right="0" w:hanging="10"/>
      <w:jc w:val="both"/>
    </w:pPr>
    <w:rPr>
      <w:rFonts w:ascii="Times New Roman" w:hAnsi="Times New Roman" w:eastAsia="Times New Roman" w:cs="Times New Roman"/>
      <w:color w:val="000000"/>
      <w:kern w:val="2"/>
      <w:sz w:val="26"/>
      <w:szCs w:val="24"/>
      <w:lang w:val="ru-RU" w:eastAsia="zh-CN" w:bidi="hi-IN"/>
    </w:rPr>
  </w:style>
  <w:style w:type="numbering" w:styleId="PodBulletedList">
    <w:name w:val="podBulletedList"/>
    <w:qFormat/>
  </w:style>
  <w:style w:type="numbering" w:styleId="PodNumberedList">
    <w:name w:val="podNumbered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24914</TotalTime>
  <Application>LibreOffice/7.4.7.2$Linux_X86_64 LibreOffice_project/40$Build-2</Application>
  <AppVersion>15.0000</AppVersion>
  <Pages>9</Pages>
  <Words>30</Words>
  <Characters>260</Characters>
  <CharactersWithSpaces>269</CharactersWithSpaces>
  <Paragraphs>82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en-US</dc:language>
  <cp:lastModifiedBy/>
  <dcterms:modified xsi:type="dcterms:W3CDTF">2025-04-22T14:26:51Z</dcterms:modified>
  <cp:revision>1222</cp:revision>
  <dc:subject/>
  <dc:title/>
</cp:coreProperties>
</file>